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BF" w:rsidRDefault="002667B5">
      <w:pPr>
        <w:overflowPunct w:val="0"/>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采购项目需求方案</w:t>
      </w:r>
    </w:p>
    <w:p w:rsidR="008F11BF" w:rsidRDefault="008F11BF">
      <w:pPr>
        <w:overflowPunct w:val="0"/>
        <w:spacing w:line="580" w:lineRule="exact"/>
        <w:ind w:firstLineChars="200" w:firstLine="640"/>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8F11BF">
      <w:pPr>
        <w:overflowPunct w:val="0"/>
        <w:spacing w:line="580" w:lineRule="exact"/>
        <w:rPr>
          <w:rFonts w:ascii="仿宋_GB2312" w:eastAsia="仿宋_GB2312"/>
          <w:sz w:val="32"/>
          <w:szCs w:val="32"/>
        </w:rPr>
      </w:pPr>
    </w:p>
    <w:p w:rsidR="008F11BF" w:rsidRDefault="002667B5">
      <w:pPr>
        <w:overflowPunct w:val="0"/>
        <w:spacing w:line="900" w:lineRule="exact"/>
        <w:ind w:firstLineChars="221" w:firstLine="707"/>
        <w:rPr>
          <w:rFonts w:asciiTheme="minorEastAsia" w:eastAsiaTheme="minorEastAsia" w:hAnsiTheme="minorEastAsia"/>
          <w:sz w:val="32"/>
          <w:szCs w:val="32"/>
        </w:rPr>
      </w:pPr>
      <w:r>
        <w:rPr>
          <w:rFonts w:asciiTheme="minorEastAsia" w:eastAsiaTheme="minorEastAsia" w:hAnsiTheme="minorEastAsia" w:hint="eastAsia"/>
          <w:sz w:val="32"/>
          <w:szCs w:val="32"/>
        </w:rPr>
        <w:t>采购科室：总务科</w:t>
      </w:r>
    </w:p>
    <w:p w:rsidR="003E4403" w:rsidRDefault="002667B5" w:rsidP="003E4403">
      <w:pPr>
        <w:overflowPunct w:val="0"/>
        <w:spacing w:line="900" w:lineRule="exact"/>
        <w:ind w:leftChars="266" w:left="638" w:firstLineChars="20" w:firstLine="64"/>
        <w:rPr>
          <w:rFonts w:ascii="仿宋_GB2312"/>
          <w:sz w:val="32"/>
          <w:szCs w:val="40"/>
        </w:rPr>
      </w:pPr>
      <w:r>
        <w:rPr>
          <w:rFonts w:asciiTheme="minorEastAsia" w:eastAsiaTheme="minorEastAsia" w:hAnsiTheme="minorEastAsia" w:hint="eastAsia"/>
          <w:sz w:val="32"/>
          <w:szCs w:val="32"/>
        </w:rPr>
        <w:t>项目名称：</w:t>
      </w:r>
      <w:bookmarkStart w:id="0" w:name="OLE_LINK7"/>
      <w:bookmarkStart w:id="1" w:name="OLE_LINK8"/>
      <w:r w:rsidR="003E4403" w:rsidRPr="003E4403">
        <w:rPr>
          <w:rFonts w:ascii="仿宋_GB2312" w:hint="eastAsia"/>
          <w:sz w:val="32"/>
          <w:szCs w:val="40"/>
        </w:rPr>
        <w:t>西宁市第一人民医院感染性疾病科病房保暖改造项目</w:t>
      </w:r>
    </w:p>
    <w:bookmarkEnd w:id="0"/>
    <w:bookmarkEnd w:id="1"/>
    <w:p w:rsidR="008F11BF" w:rsidRDefault="002667B5">
      <w:pPr>
        <w:overflowPunct w:val="0"/>
        <w:spacing w:line="900" w:lineRule="exact"/>
        <w:ind w:firstLineChars="221" w:firstLine="707"/>
        <w:rPr>
          <w:rFonts w:asciiTheme="minorEastAsia" w:eastAsiaTheme="minorEastAsia" w:hAnsiTheme="minorEastAsia"/>
          <w:sz w:val="32"/>
          <w:szCs w:val="32"/>
        </w:rPr>
      </w:pPr>
      <w:r>
        <w:rPr>
          <w:rFonts w:asciiTheme="minorEastAsia" w:eastAsiaTheme="minorEastAsia" w:hAnsiTheme="minorEastAsia" w:hint="eastAsia"/>
          <w:sz w:val="32"/>
          <w:szCs w:val="32"/>
        </w:rPr>
        <w:t>编制时间：2025.9.</w:t>
      </w:r>
      <w:r w:rsidR="003E4403">
        <w:rPr>
          <w:rFonts w:asciiTheme="minorEastAsia" w:eastAsiaTheme="minorEastAsia" w:hAnsiTheme="minorEastAsia" w:hint="eastAsia"/>
          <w:sz w:val="32"/>
          <w:szCs w:val="32"/>
        </w:rPr>
        <w:t>19</w:t>
      </w: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8F11BF">
      <w:pPr>
        <w:widowControl/>
        <w:ind w:firstLineChars="200" w:firstLine="480"/>
        <w:jc w:val="left"/>
        <w:rPr>
          <w:rFonts w:asciiTheme="minorEastAsia" w:eastAsiaTheme="minorEastAsia" w:hAnsiTheme="minorEastAsia" w:cs="宋体"/>
          <w:bCs/>
          <w:color w:val="000000"/>
          <w:kern w:val="0"/>
        </w:rPr>
      </w:pPr>
    </w:p>
    <w:p w:rsidR="008F11BF" w:rsidRDefault="002667B5">
      <w:pPr>
        <w:overflowPunct w:val="0"/>
        <w:spacing w:line="580" w:lineRule="exact"/>
        <w:rPr>
          <w:rFonts w:ascii="黑体" w:eastAsia="黑体"/>
          <w:sz w:val="28"/>
          <w:szCs w:val="28"/>
        </w:rPr>
      </w:pPr>
      <w:r>
        <w:rPr>
          <w:rFonts w:ascii="黑体" w:eastAsia="黑体" w:hint="eastAsia"/>
          <w:sz w:val="28"/>
          <w:szCs w:val="28"/>
        </w:rPr>
        <w:lastRenderedPageBreak/>
        <w:t>一、项目概况及预算</w:t>
      </w:r>
    </w:p>
    <w:p w:rsidR="004C691F" w:rsidRDefault="002667B5" w:rsidP="004C691F">
      <w:pPr>
        <w:widowControl/>
        <w:spacing w:line="560" w:lineRule="exact"/>
        <w:ind w:firstLineChars="200" w:firstLine="560"/>
        <w:jc w:val="left"/>
        <w:textAlignment w:val="center"/>
        <w:rPr>
          <w:rFonts w:ascii="仿宋_GB2312" w:eastAsia="仿宋_GB2312"/>
          <w:sz w:val="28"/>
          <w:szCs w:val="28"/>
        </w:rPr>
      </w:pPr>
      <w:r>
        <w:rPr>
          <w:rFonts w:asciiTheme="minorEastAsia" w:eastAsiaTheme="minorEastAsia" w:hAnsiTheme="minorEastAsia" w:hint="eastAsia"/>
          <w:sz w:val="28"/>
          <w:szCs w:val="28"/>
        </w:rPr>
        <w:t>1、项目概况（包括项目实施的背景、基本情况、前期调研及组织论证等内容）：</w:t>
      </w:r>
      <w:r w:rsidR="004C691F">
        <w:rPr>
          <w:rFonts w:ascii="仿宋_GB2312" w:eastAsia="仿宋_GB2312" w:hint="eastAsia"/>
          <w:sz w:val="28"/>
          <w:szCs w:val="28"/>
        </w:rPr>
        <w:t>因</w:t>
      </w:r>
      <w:bookmarkStart w:id="2" w:name="OLE_LINK3"/>
      <w:bookmarkStart w:id="3" w:name="OLE_LINK4"/>
      <w:r w:rsidR="004C691F">
        <w:rPr>
          <w:rFonts w:ascii="仿宋_GB2312" w:eastAsia="仿宋_GB2312" w:hint="eastAsia"/>
          <w:sz w:val="28"/>
          <w:szCs w:val="28"/>
        </w:rPr>
        <w:t>感染性疾病科</w:t>
      </w:r>
      <w:bookmarkEnd w:id="2"/>
      <w:bookmarkEnd w:id="3"/>
      <w:r w:rsidR="004C691F">
        <w:rPr>
          <w:rFonts w:ascii="仿宋_GB2312" w:eastAsia="仿宋_GB2312" w:hint="eastAsia"/>
          <w:sz w:val="28"/>
          <w:szCs w:val="28"/>
        </w:rPr>
        <w:t>冬季室内温度过低，经总务科查看，计划在感染性疾病科西侧和北侧位置增加断桥隔断并改造原有暖气设施，经建设银行造价部造价，共需增加隔断</w:t>
      </w:r>
      <w:r w:rsidR="004C691F" w:rsidRPr="00D86BE5">
        <w:rPr>
          <w:rFonts w:ascii="仿宋_GB2312" w:eastAsia="仿宋_GB2312" w:hint="eastAsia"/>
          <w:sz w:val="28"/>
          <w:szCs w:val="28"/>
        </w:rPr>
        <w:t>48.5㎡，改造原有暖气散热片4</w:t>
      </w:r>
      <w:r w:rsidR="004C691F">
        <w:rPr>
          <w:rFonts w:ascii="仿宋_GB2312" w:eastAsia="仿宋_GB2312" w:hint="eastAsia"/>
          <w:sz w:val="28"/>
          <w:szCs w:val="28"/>
        </w:rPr>
        <w:t>组及附属管道。</w:t>
      </w:r>
    </w:p>
    <w:p w:rsidR="008F11BF" w:rsidRDefault="002667B5" w:rsidP="004C691F">
      <w:pPr>
        <w:widowControl/>
        <w:spacing w:line="560" w:lineRule="exact"/>
        <w:ind w:firstLineChars="200" w:firstLine="560"/>
        <w:jc w:val="left"/>
        <w:textAlignment w:val="center"/>
        <w:rPr>
          <w:rFonts w:asciiTheme="minorEastAsia" w:eastAsiaTheme="minorEastAsia" w:hAnsiTheme="minorEastAsia"/>
          <w:sz w:val="28"/>
          <w:szCs w:val="28"/>
        </w:rPr>
      </w:pPr>
      <w:r>
        <w:rPr>
          <w:rFonts w:asciiTheme="minorEastAsia" w:eastAsiaTheme="minorEastAsia" w:hAnsiTheme="minorEastAsia" w:hint="eastAsia"/>
          <w:sz w:val="28"/>
          <w:szCs w:val="28"/>
        </w:rPr>
        <w:t>2、项目预算：</w:t>
      </w:r>
    </w:p>
    <w:p w:rsidR="008F11BF" w:rsidRDefault="002667B5">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2.1、是否列入本年度预算：□是    </w:t>
      </w:r>
      <w:bookmarkStart w:id="4" w:name="OLE_LINK26"/>
      <w:bookmarkStart w:id="5" w:name="OLE_LINK25"/>
      <w:r>
        <w:rPr>
          <w:rFonts w:ascii="MS Mincho" w:eastAsia="MS Mincho" w:hAnsi="MS Mincho" w:cs="MS Mincho" w:hint="eastAsia"/>
          <w:sz w:val="28"/>
          <w:szCs w:val="28"/>
        </w:rPr>
        <w:t>✔</w:t>
      </w:r>
      <w:bookmarkEnd w:id="4"/>
      <w:bookmarkEnd w:id="5"/>
      <w:r>
        <w:rPr>
          <w:rFonts w:asciiTheme="minorEastAsia" w:eastAsiaTheme="minorEastAsia" w:hAnsiTheme="minorEastAsia" w:hint="eastAsia"/>
          <w:sz w:val="28"/>
          <w:szCs w:val="28"/>
        </w:rPr>
        <w:t>否</w:t>
      </w:r>
    </w:p>
    <w:p w:rsidR="008F11BF" w:rsidRDefault="002667B5">
      <w:pPr>
        <w:overflowPunct w:val="0"/>
        <w:spacing w:line="580" w:lineRule="exact"/>
        <w:ind w:leftChars="232" w:left="3637" w:hangingChars="1100" w:hanging="30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2.2、是否政府采购项目：  □是    </w:t>
      </w:r>
      <w:r>
        <w:rPr>
          <w:rFonts w:ascii="MS Mincho" w:eastAsia="MS Mincho" w:hAnsi="MS Mincho" w:cs="MS Mincho" w:hint="eastAsia"/>
          <w:sz w:val="28"/>
          <w:szCs w:val="28"/>
        </w:rPr>
        <w:t>✔</w:t>
      </w:r>
      <w:r>
        <w:rPr>
          <w:rFonts w:asciiTheme="minorEastAsia" w:eastAsiaTheme="minorEastAsia" w:hAnsiTheme="minorEastAsia" w:hint="eastAsia"/>
          <w:sz w:val="28"/>
          <w:szCs w:val="28"/>
        </w:rPr>
        <w:t>否</w:t>
      </w:r>
    </w:p>
    <w:p w:rsidR="008F11BF" w:rsidRDefault="002667B5">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3、采购内容：</w:t>
      </w:r>
    </w:p>
    <w:tbl>
      <w:tblPr>
        <w:tblStyle w:val="a7"/>
        <w:tblW w:w="9533" w:type="dxa"/>
        <w:tblLayout w:type="fixed"/>
        <w:tblLook w:val="04A0"/>
      </w:tblPr>
      <w:tblGrid>
        <w:gridCol w:w="873"/>
        <w:gridCol w:w="2780"/>
        <w:gridCol w:w="991"/>
        <w:gridCol w:w="851"/>
        <w:gridCol w:w="1755"/>
        <w:gridCol w:w="2283"/>
      </w:tblGrid>
      <w:tr w:rsidR="008F11BF">
        <w:tc>
          <w:tcPr>
            <w:tcW w:w="873"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包号</w:t>
            </w:r>
          </w:p>
        </w:tc>
        <w:tc>
          <w:tcPr>
            <w:tcW w:w="2780"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采购项目名称</w:t>
            </w:r>
          </w:p>
        </w:tc>
        <w:tc>
          <w:tcPr>
            <w:tcW w:w="991"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851"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单位</w:t>
            </w:r>
          </w:p>
        </w:tc>
        <w:tc>
          <w:tcPr>
            <w:tcW w:w="1755"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预算（万元）</w:t>
            </w:r>
          </w:p>
        </w:tc>
        <w:tc>
          <w:tcPr>
            <w:tcW w:w="2283" w:type="dxa"/>
            <w:vAlign w:val="center"/>
          </w:tcPr>
          <w:p w:rsidR="008F11BF" w:rsidRDefault="002667B5">
            <w:pPr>
              <w:overflowPunct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合计预算（万元）</w:t>
            </w:r>
          </w:p>
        </w:tc>
      </w:tr>
      <w:tr w:rsidR="008F11BF">
        <w:tc>
          <w:tcPr>
            <w:tcW w:w="873" w:type="dxa"/>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80" w:type="dxa"/>
          </w:tcPr>
          <w:p w:rsidR="004C691F" w:rsidRPr="004C691F" w:rsidRDefault="004C691F" w:rsidP="004C691F">
            <w:pPr>
              <w:overflowPunct w:val="0"/>
              <w:spacing w:line="580" w:lineRule="exact"/>
              <w:rPr>
                <w:rFonts w:asciiTheme="minorEastAsia" w:eastAsiaTheme="minorEastAsia" w:hAnsiTheme="minorEastAsia"/>
                <w:sz w:val="22"/>
              </w:rPr>
            </w:pPr>
            <w:r w:rsidRPr="004C691F">
              <w:rPr>
                <w:rFonts w:asciiTheme="minorEastAsia" w:eastAsiaTheme="minorEastAsia" w:hAnsiTheme="minorEastAsia" w:hint="eastAsia"/>
                <w:sz w:val="22"/>
              </w:rPr>
              <w:t>西宁市第一人民医院感染性疾病科病房保暖改造项目</w:t>
            </w:r>
          </w:p>
          <w:p w:rsidR="008F11BF" w:rsidRPr="004C691F" w:rsidRDefault="008F11BF">
            <w:pPr>
              <w:overflowPunct w:val="0"/>
              <w:spacing w:line="900" w:lineRule="exact"/>
              <w:rPr>
                <w:rFonts w:asciiTheme="minorEastAsia" w:eastAsiaTheme="minorEastAsia" w:hAnsiTheme="minorEastAsia"/>
                <w:sz w:val="28"/>
                <w:szCs w:val="28"/>
              </w:rPr>
            </w:pPr>
          </w:p>
        </w:tc>
        <w:tc>
          <w:tcPr>
            <w:tcW w:w="991" w:type="dxa"/>
          </w:tcPr>
          <w:p w:rsidR="008F11BF" w:rsidRDefault="002667B5">
            <w:pPr>
              <w:overflowPunct w:val="0"/>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851" w:type="dxa"/>
          </w:tcPr>
          <w:p w:rsidR="008F11BF" w:rsidRDefault="002667B5">
            <w:pPr>
              <w:overflowPunct w:val="0"/>
              <w:spacing w:line="580" w:lineRule="exact"/>
              <w:rPr>
                <w:rFonts w:asciiTheme="minorEastAsia" w:eastAsiaTheme="minorEastAsia" w:hAnsiTheme="minorEastAsia"/>
                <w:sz w:val="22"/>
              </w:rPr>
            </w:pPr>
            <w:r>
              <w:rPr>
                <w:rFonts w:asciiTheme="minorEastAsia" w:eastAsiaTheme="minorEastAsia" w:hAnsiTheme="minorEastAsia" w:hint="eastAsia"/>
                <w:sz w:val="22"/>
              </w:rPr>
              <w:t>项</w:t>
            </w:r>
          </w:p>
        </w:tc>
        <w:tc>
          <w:tcPr>
            <w:tcW w:w="1755" w:type="dxa"/>
          </w:tcPr>
          <w:p w:rsidR="008F11BF" w:rsidRDefault="004C691F">
            <w:pPr>
              <w:overflowPunct w:val="0"/>
              <w:spacing w:line="580" w:lineRule="exact"/>
              <w:rPr>
                <w:rFonts w:asciiTheme="minorEastAsia" w:eastAsiaTheme="minorEastAsia" w:hAnsiTheme="minorEastAsia"/>
                <w:sz w:val="22"/>
              </w:rPr>
            </w:pPr>
            <w:bookmarkStart w:id="6" w:name="OLE_LINK9"/>
            <w:bookmarkStart w:id="7" w:name="OLE_LINK10"/>
            <w:r>
              <w:rPr>
                <w:rFonts w:asciiTheme="minorEastAsia" w:eastAsiaTheme="minorEastAsia" w:hAnsiTheme="minorEastAsia" w:hint="eastAsia"/>
                <w:sz w:val="22"/>
              </w:rPr>
              <w:t>3.840752</w:t>
            </w:r>
            <w:bookmarkEnd w:id="6"/>
            <w:bookmarkEnd w:id="7"/>
          </w:p>
        </w:tc>
        <w:tc>
          <w:tcPr>
            <w:tcW w:w="2283" w:type="dxa"/>
          </w:tcPr>
          <w:p w:rsidR="008F11BF" w:rsidRDefault="004C691F">
            <w:pPr>
              <w:overflowPunct w:val="0"/>
              <w:spacing w:line="580" w:lineRule="exact"/>
              <w:rPr>
                <w:rFonts w:asciiTheme="minorEastAsia" w:eastAsiaTheme="minorEastAsia" w:hAnsiTheme="minorEastAsia"/>
                <w:sz w:val="22"/>
              </w:rPr>
            </w:pPr>
            <w:r>
              <w:rPr>
                <w:rFonts w:asciiTheme="minorEastAsia" w:eastAsiaTheme="minorEastAsia" w:hAnsiTheme="minorEastAsia" w:hint="eastAsia"/>
                <w:sz w:val="22"/>
              </w:rPr>
              <w:t>3.840752</w:t>
            </w:r>
          </w:p>
        </w:tc>
      </w:tr>
      <w:tr w:rsidR="008F11BF">
        <w:tc>
          <w:tcPr>
            <w:tcW w:w="873" w:type="dxa"/>
          </w:tcPr>
          <w:p w:rsidR="008F11BF" w:rsidRDefault="008F11BF">
            <w:pPr>
              <w:overflowPunct w:val="0"/>
              <w:spacing w:line="580" w:lineRule="exact"/>
              <w:rPr>
                <w:rFonts w:asciiTheme="minorEastAsia" w:eastAsiaTheme="minorEastAsia" w:hAnsiTheme="minorEastAsia"/>
                <w:sz w:val="28"/>
                <w:szCs w:val="28"/>
              </w:rPr>
            </w:pPr>
          </w:p>
        </w:tc>
        <w:tc>
          <w:tcPr>
            <w:tcW w:w="2780" w:type="dxa"/>
          </w:tcPr>
          <w:p w:rsidR="008F11BF" w:rsidRDefault="008F11BF">
            <w:pPr>
              <w:overflowPunct w:val="0"/>
              <w:spacing w:line="580" w:lineRule="exact"/>
              <w:rPr>
                <w:rFonts w:asciiTheme="minorEastAsia" w:eastAsiaTheme="minorEastAsia" w:hAnsiTheme="minorEastAsia"/>
                <w:sz w:val="28"/>
                <w:szCs w:val="28"/>
              </w:rPr>
            </w:pPr>
          </w:p>
        </w:tc>
        <w:tc>
          <w:tcPr>
            <w:tcW w:w="991" w:type="dxa"/>
          </w:tcPr>
          <w:p w:rsidR="008F11BF" w:rsidRDefault="008F11BF">
            <w:pPr>
              <w:overflowPunct w:val="0"/>
              <w:spacing w:line="580" w:lineRule="exact"/>
              <w:rPr>
                <w:rFonts w:asciiTheme="minorEastAsia" w:eastAsiaTheme="minorEastAsia" w:hAnsiTheme="minorEastAsia"/>
                <w:sz w:val="28"/>
                <w:szCs w:val="28"/>
              </w:rPr>
            </w:pPr>
          </w:p>
        </w:tc>
        <w:tc>
          <w:tcPr>
            <w:tcW w:w="851" w:type="dxa"/>
          </w:tcPr>
          <w:p w:rsidR="008F11BF" w:rsidRDefault="008F11BF">
            <w:pPr>
              <w:overflowPunct w:val="0"/>
              <w:spacing w:line="580" w:lineRule="exact"/>
              <w:rPr>
                <w:rFonts w:asciiTheme="minorEastAsia" w:eastAsiaTheme="minorEastAsia" w:hAnsiTheme="minorEastAsia"/>
                <w:sz w:val="28"/>
                <w:szCs w:val="28"/>
              </w:rPr>
            </w:pPr>
          </w:p>
        </w:tc>
        <w:tc>
          <w:tcPr>
            <w:tcW w:w="1755" w:type="dxa"/>
          </w:tcPr>
          <w:p w:rsidR="008F11BF" w:rsidRDefault="008F11BF">
            <w:pPr>
              <w:overflowPunct w:val="0"/>
              <w:spacing w:line="580" w:lineRule="exact"/>
              <w:rPr>
                <w:rFonts w:asciiTheme="minorEastAsia" w:eastAsiaTheme="minorEastAsia" w:hAnsiTheme="minorEastAsia"/>
                <w:sz w:val="28"/>
                <w:szCs w:val="28"/>
              </w:rPr>
            </w:pPr>
          </w:p>
        </w:tc>
        <w:tc>
          <w:tcPr>
            <w:tcW w:w="2283" w:type="dxa"/>
          </w:tcPr>
          <w:p w:rsidR="008F11BF" w:rsidRDefault="008F11BF">
            <w:pPr>
              <w:overflowPunct w:val="0"/>
              <w:spacing w:line="580" w:lineRule="exact"/>
              <w:rPr>
                <w:rFonts w:asciiTheme="minorEastAsia" w:eastAsiaTheme="minorEastAsia" w:hAnsiTheme="minorEastAsia"/>
                <w:sz w:val="28"/>
                <w:szCs w:val="28"/>
              </w:rPr>
            </w:pPr>
          </w:p>
        </w:tc>
      </w:tr>
    </w:tbl>
    <w:p w:rsidR="008F11BF" w:rsidRDefault="002667B5">
      <w:pPr>
        <w:overflowPunct w:val="0"/>
        <w:spacing w:line="580" w:lineRule="exact"/>
        <w:ind w:firstLineChars="200" w:firstLine="560"/>
        <w:rPr>
          <w:rFonts w:ascii="黑体" w:eastAsia="黑体"/>
          <w:sz w:val="28"/>
          <w:szCs w:val="28"/>
        </w:rPr>
      </w:pPr>
      <w:r>
        <w:rPr>
          <w:rFonts w:ascii="黑体" w:eastAsia="黑体" w:hint="eastAsia"/>
          <w:sz w:val="28"/>
          <w:szCs w:val="28"/>
        </w:rPr>
        <w:t>二、采购标的招标要求</w:t>
      </w:r>
    </w:p>
    <w:p w:rsidR="008F11BF" w:rsidRDefault="002667B5">
      <w:pPr>
        <w:overflowPunct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1、技术要求：主要包括采购标的的适用范围、功能或目标要求、需满足的标准或规范、质量要求、服务要求、技术参数等技术方面的相关要求。</w:t>
      </w:r>
    </w:p>
    <w:p w:rsidR="008F11BF" w:rsidRPr="00950CF2" w:rsidRDefault="002667B5" w:rsidP="00950CF2">
      <w:pPr>
        <w:widowControl/>
        <w:ind w:firstLineChars="200" w:firstLine="560"/>
        <w:jc w:val="left"/>
        <w:rPr>
          <w:rFonts w:asciiTheme="minorEastAsia" w:eastAsiaTheme="minorEastAsia" w:hAnsiTheme="minorEastAsia" w:cstheme="minorEastAsia"/>
          <w:sz w:val="28"/>
          <w:szCs w:val="28"/>
        </w:rPr>
      </w:pPr>
      <w:r w:rsidRPr="00950CF2">
        <w:rPr>
          <w:rFonts w:asciiTheme="minorEastAsia" w:eastAsiaTheme="minorEastAsia" w:hAnsiTheme="minorEastAsia" w:cstheme="minorEastAsia" w:hint="eastAsia"/>
          <w:sz w:val="28"/>
          <w:szCs w:val="28"/>
        </w:rPr>
        <w:t>附工程量清单</w:t>
      </w:r>
    </w:p>
    <w:p w:rsidR="008F11BF" w:rsidRDefault="002667B5">
      <w:pPr>
        <w:pStyle w:val="a6"/>
        <w:shd w:val="clear" w:color="auto" w:fill="FFFFFF"/>
        <w:spacing w:before="0" w:beforeAutospacing="0" w:after="0" w:afterAutospacing="0"/>
        <w:ind w:firstLine="48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2、商务要求：主要包括到货、安装或实施、验收与交付、培训、付款方式、售后服务等商务方面的相关要求。</w:t>
      </w:r>
    </w:p>
    <w:p w:rsidR="008F11BF" w:rsidRDefault="004C691F">
      <w:pPr>
        <w:pStyle w:val="a6"/>
        <w:shd w:val="clear" w:color="auto" w:fill="FFFFFF"/>
        <w:spacing w:before="0" w:beforeAutospacing="0" w:after="0" w:afterAutospacing="0"/>
        <w:ind w:firstLine="48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w:t>
      </w:r>
      <w:r w:rsidR="002667B5">
        <w:rPr>
          <w:rFonts w:asciiTheme="minorEastAsia" w:eastAsiaTheme="minorEastAsia" w:hAnsiTheme="minorEastAsia" w:cstheme="minorEastAsia" w:hint="eastAsia"/>
          <w:sz w:val="28"/>
          <w:szCs w:val="28"/>
        </w:rPr>
        <w:t>天内完成施工，验收合格后支付95%，剩余5%质保金</w:t>
      </w:r>
      <w:r w:rsidR="002667B5">
        <w:rPr>
          <w:rFonts w:asciiTheme="minorEastAsia" w:eastAsiaTheme="minorEastAsia" w:hAnsiTheme="minorEastAsia" w:cstheme="minorEastAsia"/>
          <w:sz w:val="28"/>
          <w:szCs w:val="28"/>
        </w:rPr>
        <w:t>。</w:t>
      </w:r>
    </w:p>
    <w:p w:rsidR="008F11BF" w:rsidRDefault="002667B5">
      <w:pPr>
        <w:overflowPunct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3、需满足的政府采购政策要求</w:t>
      </w:r>
    </w:p>
    <w:p w:rsidR="008F11BF" w:rsidRDefault="002667B5">
      <w:pPr>
        <w:overflowPunct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3.1 面向中小微企业：是    ☑否</w:t>
      </w:r>
    </w:p>
    <w:p w:rsidR="008F11BF" w:rsidRDefault="002667B5">
      <w:pPr>
        <w:overflowPunct w:val="0"/>
        <w:spacing w:line="58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3.2 其他采购政策要求（若有，请说明）。</w:t>
      </w:r>
    </w:p>
    <w:p w:rsidR="008F11BF" w:rsidRDefault="002667B5">
      <w:pPr>
        <w:overflowPunct w:val="0"/>
        <w:spacing w:line="580" w:lineRule="exact"/>
        <w:ind w:firstLineChars="200" w:firstLine="560"/>
        <w:rPr>
          <w:rFonts w:ascii="黑体" w:eastAsia="黑体"/>
          <w:sz w:val="28"/>
          <w:szCs w:val="28"/>
        </w:rPr>
      </w:pPr>
      <w:r>
        <w:rPr>
          <w:rFonts w:ascii="黑体" w:eastAsia="黑体" w:hint="eastAsia"/>
          <w:sz w:val="28"/>
          <w:szCs w:val="28"/>
        </w:rPr>
        <w:t>三、供应商</w:t>
      </w:r>
      <w:r>
        <w:rPr>
          <w:rFonts w:ascii="黑体" w:eastAsia="黑体"/>
          <w:sz w:val="28"/>
          <w:szCs w:val="28"/>
        </w:rPr>
        <w:t>资质要求</w:t>
      </w:r>
    </w:p>
    <w:p w:rsidR="008F11BF" w:rsidRDefault="002667B5" w:rsidP="004C691F">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、营业</w:t>
      </w:r>
      <w:r>
        <w:rPr>
          <w:rFonts w:asciiTheme="minorEastAsia" w:eastAsiaTheme="minorEastAsia" w:hAnsiTheme="minorEastAsia"/>
          <w:sz w:val="28"/>
          <w:szCs w:val="28"/>
        </w:rPr>
        <w:t>执照，经营范围涵盖本项目；</w:t>
      </w:r>
      <w:r w:rsidR="00950CF2">
        <w:rPr>
          <w:rFonts w:asciiTheme="minorEastAsia" w:eastAsiaTheme="minorEastAsia" w:hAnsiTheme="minorEastAsia"/>
          <w:sz w:val="28"/>
          <w:szCs w:val="28"/>
        </w:rPr>
        <w:t>室内外装饰装修</w:t>
      </w:r>
    </w:p>
    <w:p w:rsidR="008F11BF" w:rsidRDefault="002667B5" w:rsidP="004C691F">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、本行业</w:t>
      </w:r>
      <w:r>
        <w:rPr>
          <w:rFonts w:asciiTheme="minorEastAsia" w:eastAsiaTheme="minorEastAsia" w:hAnsiTheme="minorEastAsia"/>
          <w:sz w:val="28"/>
          <w:szCs w:val="28"/>
        </w:rPr>
        <w:t>资质</w:t>
      </w:r>
      <w:r>
        <w:rPr>
          <w:rFonts w:asciiTheme="minorEastAsia" w:eastAsiaTheme="minorEastAsia" w:hAnsiTheme="minorEastAsia" w:hint="eastAsia"/>
          <w:sz w:val="28"/>
          <w:szCs w:val="28"/>
        </w:rPr>
        <w:t>要求</w:t>
      </w:r>
      <w:r>
        <w:rPr>
          <w:rFonts w:asciiTheme="minorEastAsia" w:eastAsiaTheme="minorEastAsia" w:hAnsiTheme="minorEastAsia"/>
          <w:sz w:val="28"/>
          <w:szCs w:val="28"/>
        </w:rPr>
        <w:t>及证书：</w:t>
      </w:r>
      <w:r w:rsidR="00950CF2">
        <w:rPr>
          <w:rFonts w:asciiTheme="minorEastAsia" w:eastAsiaTheme="minorEastAsia" w:hAnsiTheme="minorEastAsia" w:hint="eastAsia"/>
          <w:sz w:val="28"/>
          <w:szCs w:val="28"/>
        </w:rPr>
        <w:t>/</w:t>
      </w:r>
      <w:r w:rsidR="00950CF2">
        <w:rPr>
          <w:rFonts w:asciiTheme="minorEastAsia" w:eastAsiaTheme="minorEastAsia" w:hAnsiTheme="minorEastAsia"/>
          <w:sz w:val="28"/>
          <w:szCs w:val="28"/>
        </w:rPr>
        <w:t xml:space="preserve"> </w:t>
      </w:r>
    </w:p>
    <w:p w:rsidR="008F11BF" w:rsidRDefault="002667B5" w:rsidP="004C691F">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其他：如有其他要求，可提出。</w:t>
      </w:r>
    </w:p>
    <w:p w:rsidR="008F11BF" w:rsidRDefault="002667B5">
      <w:pPr>
        <w:overflowPunct w:val="0"/>
        <w:spacing w:line="580" w:lineRule="exact"/>
        <w:ind w:firstLineChars="200" w:firstLine="560"/>
        <w:rPr>
          <w:rFonts w:asciiTheme="minorEastAsia" w:eastAsiaTheme="minorEastAsia" w:hAnsiTheme="minorEastAsia"/>
          <w:sz w:val="28"/>
          <w:szCs w:val="28"/>
        </w:rPr>
      </w:pPr>
      <w:r>
        <w:rPr>
          <w:rFonts w:ascii="黑体" w:eastAsia="黑体" w:hint="eastAsia"/>
          <w:sz w:val="28"/>
          <w:szCs w:val="28"/>
        </w:rPr>
        <w:t>四、</w:t>
      </w:r>
      <w:bookmarkStart w:id="8" w:name="OLE_LINK1"/>
      <w:r>
        <w:rPr>
          <w:rFonts w:ascii="黑体" w:eastAsia="黑体" w:hint="eastAsia"/>
          <w:sz w:val="28"/>
          <w:szCs w:val="28"/>
        </w:rPr>
        <w:t>拟用评分标准</w:t>
      </w:r>
      <w:bookmarkEnd w:id="8"/>
      <w:r>
        <w:rPr>
          <w:rFonts w:asciiTheme="minorEastAsia" w:eastAsiaTheme="minorEastAsia" w:hAnsiTheme="minorEastAsia" w:hint="eastAsia"/>
          <w:sz w:val="28"/>
          <w:szCs w:val="28"/>
        </w:rPr>
        <w:t>（针对项目特点编写拟用的评分标准，技术部分和商务部分均可分为若干小项）</w:t>
      </w:r>
    </w:p>
    <w:tbl>
      <w:tblPr>
        <w:tblStyle w:val="a7"/>
        <w:tblW w:w="0" w:type="auto"/>
        <w:tblLook w:val="04A0"/>
      </w:tblPr>
      <w:tblGrid>
        <w:gridCol w:w="1572"/>
        <w:gridCol w:w="4226"/>
        <w:gridCol w:w="3345"/>
      </w:tblGrid>
      <w:tr w:rsidR="008F11BF">
        <w:tc>
          <w:tcPr>
            <w:tcW w:w="1572" w:type="dxa"/>
            <w:vAlign w:val="center"/>
          </w:tcPr>
          <w:p w:rsidR="008F11BF" w:rsidRDefault="002667B5">
            <w:pPr>
              <w:overflowPunct w:val="0"/>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评分项目</w:t>
            </w:r>
          </w:p>
        </w:tc>
        <w:tc>
          <w:tcPr>
            <w:tcW w:w="4226" w:type="dxa"/>
            <w:vAlign w:val="center"/>
          </w:tcPr>
          <w:p w:rsidR="008F11BF" w:rsidRDefault="002667B5">
            <w:pPr>
              <w:overflowPunct w:val="0"/>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分值</w:t>
            </w:r>
          </w:p>
        </w:tc>
        <w:tc>
          <w:tcPr>
            <w:tcW w:w="3345" w:type="dxa"/>
            <w:vAlign w:val="center"/>
          </w:tcPr>
          <w:p w:rsidR="008F11BF" w:rsidRDefault="002667B5">
            <w:pPr>
              <w:overflowPunct w:val="0"/>
              <w:spacing w:line="58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评分标准</w:t>
            </w:r>
          </w:p>
        </w:tc>
      </w:tr>
      <w:tr w:rsidR="008F11BF">
        <w:tc>
          <w:tcPr>
            <w:tcW w:w="1572"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报价部分</w:t>
            </w:r>
          </w:p>
        </w:tc>
        <w:tc>
          <w:tcPr>
            <w:tcW w:w="4226" w:type="dxa"/>
            <w:vAlign w:val="center"/>
          </w:tcPr>
          <w:p w:rsidR="008F11BF" w:rsidRDefault="00AF7616">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30分</w:t>
            </w:r>
          </w:p>
        </w:tc>
        <w:tc>
          <w:tcPr>
            <w:tcW w:w="3345" w:type="dxa"/>
            <w:vAlign w:val="center"/>
          </w:tcPr>
          <w:p w:rsidR="008F11BF" w:rsidRDefault="00AF7616" w:rsidP="00AF7616">
            <w:pPr>
              <w:overflowPunct w:val="0"/>
              <w:spacing w:line="576" w:lineRule="exact"/>
              <w:rPr>
                <w:rFonts w:ascii="黑体" w:eastAsia="黑体"/>
                <w:sz w:val="28"/>
                <w:szCs w:val="28"/>
              </w:rPr>
            </w:pPr>
            <w:r>
              <w:t>1. </w:t>
            </w:r>
            <w:r>
              <w:t>报价合规性（</w:t>
            </w:r>
            <w:r>
              <w:t>5</w:t>
            </w:r>
            <w:r>
              <w:t>分）</w:t>
            </w:r>
            <w:r>
              <w:br/>
              <w:t>- </w:t>
            </w:r>
            <w:r>
              <w:t>报价文件完整（含工程量清单、单价分析表），无缺项、漏项或计算错误，得</w:t>
            </w:r>
            <w:r>
              <w:t>5</w:t>
            </w:r>
            <w:r>
              <w:t>分；文件不完整或存在明显计算错误，扣</w:t>
            </w:r>
            <w:r>
              <w:t>2-5</w:t>
            </w:r>
            <w:r>
              <w:t>分。</w:t>
            </w:r>
            <w:r>
              <w:br/>
              <w:t>2. </w:t>
            </w:r>
            <w:r>
              <w:t>报价合理性（</w:t>
            </w:r>
            <w:r>
              <w:t>25</w:t>
            </w:r>
            <w:r>
              <w:t>分）</w:t>
            </w:r>
            <w:r>
              <w:br/>
              <w:t>- </w:t>
            </w:r>
            <w:r>
              <w:t>以所有有效投标报价的算术平均值作为基准价，报价与基准价偏差在</w:t>
            </w:r>
            <w:r>
              <w:t>±3%</w:t>
            </w:r>
            <w:r>
              <w:t>以内的，得</w:t>
            </w:r>
            <w:r>
              <w:t>25</w:t>
            </w:r>
            <w:r>
              <w:t>分；</w:t>
            </w:r>
            <w:r>
              <w:br/>
              <w:t>- </w:t>
            </w:r>
            <w:r>
              <w:t>偏差每超出</w:t>
            </w:r>
            <w:r>
              <w:t>±3%</w:t>
            </w:r>
            <w:r>
              <w:t>（含）但</w:t>
            </w:r>
            <w:r>
              <w:t>≤±5%</w:t>
            </w:r>
            <w:r>
              <w:t>，扣</w:t>
            </w:r>
            <w:r>
              <w:t>3</w:t>
            </w:r>
            <w:r>
              <w:t>分；偏差每超出</w:t>
            </w:r>
            <w:r>
              <w:t>±5%</w:t>
            </w:r>
            <w:r>
              <w:t>（含）但</w:t>
            </w:r>
            <w:r>
              <w:t>≤±8%</w:t>
            </w:r>
            <w:r>
              <w:t>，扣</w:t>
            </w:r>
            <w:r>
              <w:t>8</w:t>
            </w:r>
            <w:r>
              <w:t>分；偏差超出</w:t>
            </w:r>
            <w:r>
              <w:lastRenderedPageBreak/>
              <w:t>±8%</w:t>
            </w:r>
            <w:r>
              <w:t>，本项不得分。</w:t>
            </w:r>
            <w:r>
              <w:br/>
            </w:r>
            <w:r>
              <w:t>（注：有效投标报价指排除低于成本价或高于最高投标限价的报价）</w:t>
            </w:r>
          </w:p>
        </w:tc>
      </w:tr>
      <w:tr w:rsidR="008F11BF">
        <w:tc>
          <w:tcPr>
            <w:tcW w:w="1572"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技术部分</w:t>
            </w:r>
          </w:p>
        </w:tc>
        <w:tc>
          <w:tcPr>
            <w:tcW w:w="4226" w:type="dxa"/>
            <w:vAlign w:val="center"/>
          </w:tcPr>
          <w:p w:rsidR="008F11BF" w:rsidRDefault="00AF7616" w:rsidP="00E17629">
            <w:pPr>
              <w:overflowPunct w:val="0"/>
              <w:spacing w:line="580" w:lineRule="exact"/>
              <w:rPr>
                <w:rFonts w:asciiTheme="minorEastAsia" w:eastAsiaTheme="minorEastAsia" w:hAnsiTheme="minorEastAsia"/>
                <w:sz w:val="28"/>
                <w:szCs w:val="28"/>
              </w:rPr>
            </w:pPr>
            <w:r>
              <w:rPr>
                <w:rFonts w:hint="eastAsia"/>
              </w:rPr>
              <w:t>50</w:t>
            </w:r>
            <w:r w:rsidR="00E17629">
              <w:rPr>
                <w:rFonts w:hint="eastAsia"/>
              </w:rPr>
              <w:t>分</w:t>
            </w:r>
          </w:p>
        </w:tc>
        <w:tc>
          <w:tcPr>
            <w:tcW w:w="3345" w:type="dxa"/>
            <w:vAlign w:val="center"/>
          </w:tcPr>
          <w:p w:rsidR="00950CF2" w:rsidRDefault="00950CF2" w:rsidP="00D34195">
            <w:pPr>
              <w:overflowPunct w:val="0"/>
              <w:spacing w:line="576" w:lineRule="exact"/>
            </w:pPr>
            <w:r>
              <w:t>1. </w:t>
            </w:r>
            <w:r>
              <w:t>结构稳固性（</w:t>
            </w:r>
            <w:r>
              <w:t>15</w:t>
            </w:r>
            <w:r>
              <w:t>分）：隔断框架无晃动、松动，与地面</w:t>
            </w:r>
            <w:r>
              <w:t>/</w:t>
            </w:r>
            <w:r>
              <w:t>墙面连接牢固（如螺丝固定、粘连紧密），垂直偏差</w:t>
            </w:r>
            <w:r>
              <w:t>≤3mm</w:t>
            </w:r>
            <w:r>
              <w:t>；经受轻微碰撞（如正常推门、人员经过碰撞）后无变形、倾倒风险，达标得</w:t>
            </w:r>
            <w:r>
              <w:t>15</w:t>
            </w:r>
            <w:r>
              <w:t>分，存在轻微松动扣</w:t>
            </w:r>
            <w:r>
              <w:t>5-8</w:t>
            </w:r>
            <w:r>
              <w:t>分，明显晃动或连接不牢扣</w:t>
            </w:r>
            <w:r>
              <w:t>10-15</w:t>
            </w:r>
            <w:r>
              <w:t>分。</w:t>
            </w:r>
            <w:r>
              <w:br/>
              <w:t>2. </w:t>
            </w:r>
            <w:r>
              <w:t>材料安全性（</w:t>
            </w:r>
            <w:r>
              <w:t>10</w:t>
            </w:r>
            <w:r>
              <w:t>分）：使用的板材、胶水、涂料等材料需符合国家环保标准，无刺鼻异味达标得</w:t>
            </w:r>
            <w:r>
              <w:t>10</w:t>
            </w:r>
            <w:r>
              <w:t>分，材料不达标扣</w:t>
            </w:r>
            <w:r>
              <w:t>5-8</w:t>
            </w:r>
            <w:r>
              <w:t>分，存在重大安全隐患扣</w:t>
            </w:r>
            <w:r>
              <w:t>10</w:t>
            </w:r>
            <w:r>
              <w:t>分。</w:t>
            </w:r>
          </w:p>
          <w:p w:rsidR="00AF7616" w:rsidRPr="006064FF" w:rsidRDefault="00950CF2" w:rsidP="006064FF">
            <w:pPr>
              <w:overflowPunct w:val="0"/>
              <w:spacing w:line="576" w:lineRule="exact"/>
            </w:pPr>
            <w:r>
              <w:rPr>
                <w:rFonts w:hint="eastAsia"/>
              </w:rPr>
              <w:t>3.</w:t>
            </w:r>
            <w:r>
              <w:t> </w:t>
            </w:r>
            <w:r>
              <w:t>空间划分合理性（</w:t>
            </w:r>
            <w:r>
              <w:t>10</w:t>
            </w:r>
            <w:r>
              <w:t>分）：隔断位置、尺寸与改造需求匹配，不浪费空间、不遮挡关键通道（如门口、窗户），达标得</w:t>
            </w:r>
            <w:r>
              <w:t>10</w:t>
            </w:r>
            <w:r>
              <w:t>分，位置不合理导致空间</w:t>
            </w:r>
            <w:r>
              <w:lastRenderedPageBreak/>
              <w:t>浪费扣</w:t>
            </w:r>
            <w:r>
              <w:t>4-6</w:t>
            </w:r>
            <w:r>
              <w:t>分，遮挡通道扣</w:t>
            </w:r>
            <w:r>
              <w:t>7-10</w:t>
            </w:r>
            <w:r>
              <w:t>分。</w:t>
            </w:r>
            <w:r>
              <w:br/>
            </w:r>
            <w:r>
              <w:rPr>
                <w:rFonts w:hint="eastAsia"/>
              </w:rPr>
              <w:t>4</w:t>
            </w:r>
            <w:r w:rsidR="00D34195">
              <w:rPr>
                <w:rFonts w:hint="eastAsia"/>
              </w:rPr>
              <w:t>.</w:t>
            </w:r>
            <w:r w:rsidR="00AF7616">
              <w:t>安全制度与防护（</w:t>
            </w:r>
            <w:r w:rsidR="00AF7616">
              <w:t>10</w:t>
            </w:r>
            <w:r w:rsidR="00AF7616">
              <w:t>分）</w:t>
            </w:r>
            <w:r w:rsidR="00AF7616">
              <w:br/>
              <w:t>- </w:t>
            </w:r>
            <w:r>
              <w:t>建立完善的安全管理制度（如动火作业</w:t>
            </w:r>
            <w:r w:rsidR="00AF7616">
              <w:t>），现场配备合格的安全防护设备（安全帽、安全带、消防器材），得</w:t>
            </w:r>
            <w:r w:rsidR="00AF7616">
              <w:t>10</w:t>
            </w:r>
            <w:r w:rsidR="00AF7616">
              <w:t>分；制度缺失扣</w:t>
            </w:r>
            <w:r w:rsidR="00AF7616">
              <w:t>4</w:t>
            </w:r>
            <w:r w:rsidR="00AF7616">
              <w:t>分，防护设备不足或过期，每处扣</w:t>
            </w:r>
            <w:r w:rsidR="00AF7616">
              <w:t>3</w:t>
            </w:r>
            <w:r w:rsidR="00AF7616">
              <w:t>分，扣完为止。</w:t>
            </w:r>
            <w:r w:rsidR="00AF7616">
              <w:br/>
            </w:r>
            <w:r w:rsidR="006064FF">
              <w:rPr>
                <w:rFonts w:hint="eastAsia"/>
              </w:rPr>
              <w:t>5</w:t>
            </w:r>
            <w:r w:rsidR="00AF7616">
              <w:t>. </w:t>
            </w:r>
            <w:r w:rsidR="00AF7616">
              <w:t>人员安全管理（</w:t>
            </w:r>
            <w:r w:rsidR="00AF7616">
              <w:t>5</w:t>
            </w:r>
            <w:r w:rsidR="00AF7616">
              <w:t>分）</w:t>
            </w:r>
            <w:r w:rsidR="00AF7616">
              <w:br/>
              <w:t>- </w:t>
            </w:r>
            <w:r w:rsidR="00AF7616">
              <w:t>施工人员持证上岗（如特种作业证），岗前安全培训覆盖率</w:t>
            </w:r>
            <w:r w:rsidR="00AF7616">
              <w:t>100%</w:t>
            </w:r>
            <w:r w:rsidR="00AF7616">
              <w:t>，得</w:t>
            </w:r>
            <w:r w:rsidR="00AF7616">
              <w:t>5</w:t>
            </w:r>
            <w:r w:rsidR="00AF7616">
              <w:t>分；无证上岗每人次扣</w:t>
            </w:r>
            <w:r w:rsidR="00AF7616">
              <w:t>2</w:t>
            </w:r>
            <w:r w:rsidR="00AF7616">
              <w:t>分，培训覆盖率不足扣</w:t>
            </w:r>
            <w:r w:rsidR="00AF7616">
              <w:t>3</w:t>
            </w:r>
            <w:r w:rsidR="00AF7616">
              <w:t>分，扣完为止。</w:t>
            </w:r>
          </w:p>
        </w:tc>
      </w:tr>
      <w:tr w:rsidR="008F11BF">
        <w:tc>
          <w:tcPr>
            <w:tcW w:w="1572"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商务部分</w:t>
            </w:r>
          </w:p>
        </w:tc>
        <w:tc>
          <w:tcPr>
            <w:tcW w:w="4226" w:type="dxa"/>
            <w:vAlign w:val="center"/>
          </w:tcPr>
          <w:p w:rsidR="008F11BF" w:rsidRDefault="00AF7616" w:rsidP="00AF7616">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10分</w:t>
            </w:r>
          </w:p>
        </w:tc>
        <w:tc>
          <w:tcPr>
            <w:tcW w:w="3345" w:type="dxa"/>
            <w:vAlign w:val="center"/>
          </w:tcPr>
          <w:p w:rsidR="008F11BF" w:rsidRDefault="00AF7616" w:rsidP="006064FF">
            <w:pPr>
              <w:overflowPunct w:val="0"/>
              <w:spacing w:line="580" w:lineRule="exact"/>
              <w:rPr>
                <w:rFonts w:ascii="黑体" w:eastAsia="黑体"/>
                <w:sz w:val="28"/>
                <w:szCs w:val="28"/>
              </w:rPr>
            </w:pPr>
            <w:r>
              <w:t>1. </w:t>
            </w:r>
            <w:r>
              <w:t>资质合规性（</w:t>
            </w:r>
            <w:r>
              <w:rPr>
                <w:rFonts w:hint="eastAsia"/>
              </w:rPr>
              <w:t>5</w:t>
            </w:r>
            <w:r>
              <w:t>分）</w:t>
            </w:r>
            <w:r>
              <w:br/>
              <w:t>- </w:t>
            </w:r>
            <w:r>
              <w:t>具备与改造项目匹配的施工</w:t>
            </w:r>
            <w:r w:rsidR="006064FF">
              <w:t>营业范围</w:t>
            </w:r>
            <w:r>
              <w:t>得</w:t>
            </w:r>
            <w:r>
              <w:rPr>
                <w:rFonts w:hint="eastAsia"/>
              </w:rPr>
              <w:t>5</w:t>
            </w:r>
            <w:r>
              <w:t>分；</w:t>
            </w:r>
            <w:r w:rsidR="006064FF">
              <w:t>缺少</w:t>
            </w:r>
            <w:r>
              <w:t>扣</w:t>
            </w:r>
            <w:r w:rsidR="006064FF">
              <w:rPr>
                <w:rFonts w:hint="eastAsia"/>
              </w:rPr>
              <w:t>5</w:t>
            </w:r>
            <w:r>
              <w:t>分。</w:t>
            </w:r>
            <w:r>
              <w:br/>
              <w:t>2. </w:t>
            </w:r>
            <w:r>
              <w:t>类似项目业绩（</w:t>
            </w:r>
            <w:r w:rsidR="006064FF">
              <w:rPr>
                <w:rFonts w:hint="eastAsia"/>
              </w:rPr>
              <w:t>5</w:t>
            </w:r>
            <w:r>
              <w:t>分）</w:t>
            </w:r>
            <w:r>
              <w:br/>
              <w:t>- </w:t>
            </w:r>
            <w:r>
              <w:t>近</w:t>
            </w:r>
            <w:r>
              <w:t>3</w:t>
            </w:r>
            <w:r>
              <w:t>年内承接过</w:t>
            </w:r>
            <w:r>
              <w:t>3</w:t>
            </w:r>
            <w:r>
              <w:t>个及以上同类型工程改造项目（需提供合同、竣工验收报告），得</w:t>
            </w:r>
            <w:r w:rsidR="006064FF">
              <w:rPr>
                <w:rFonts w:hint="eastAsia"/>
              </w:rPr>
              <w:t>5</w:t>
            </w:r>
            <w:r>
              <w:t>分；业绩数量不足（</w:t>
            </w:r>
            <w:r>
              <w:t>1-2</w:t>
            </w:r>
            <w:r>
              <w:t>个）</w:t>
            </w:r>
            <w:r>
              <w:lastRenderedPageBreak/>
              <w:t>扣</w:t>
            </w:r>
            <w:r w:rsidR="006064FF">
              <w:rPr>
                <w:rFonts w:hint="eastAsia"/>
              </w:rPr>
              <w:t>2</w:t>
            </w:r>
            <w:r>
              <w:t>分，无类似业绩或证明材料不全，本项不得分。</w:t>
            </w:r>
          </w:p>
        </w:tc>
      </w:tr>
      <w:tr w:rsidR="00AF7616">
        <w:tc>
          <w:tcPr>
            <w:tcW w:w="1572" w:type="dxa"/>
            <w:vAlign w:val="center"/>
          </w:tcPr>
          <w:p w:rsidR="00AF7616" w:rsidRDefault="00AF7616">
            <w:pPr>
              <w:overflowPunct w:val="0"/>
              <w:spacing w:line="580" w:lineRule="exact"/>
              <w:rPr>
                <w:rFonts w:asciiTheme="minorEastAsia" w:eastAsiaTheme="minorEastAsia" w:hAnsiTheme="minorEastAsia"/>
                <w:sz w:val="28"/>
                <w:szCs w:val="28"/>
              </w:rPr>
            </w:pPr>
            <w:r w:rsidRPr="00D34195">
              <w:rPr>
                <w:rFonts w:asciiTheme="minorEastAsia" w:eastAsiaTheme="minorEastAsia" w:hAnsiTheme="minorEastAsia"/>
                <w:sz w:val="28"/>
                <w:szCs w:val="28"/>
              </w:rPr>
              <w:lastRenderedPageBreak/>
              <w:t>履约能力</w:t>
            </w:r>
          </w:p>
        </w:tc>
        <w:tc>
          <w:tcPr>
            <w:tcW w:w="4226" w:type="dxa"/>
            <w:vAlign w:val="center"/>
          </w:tcPr>
          <w:p w:rsidR="00AF7616" w:rsidRDefault="00AF7616" w:rsidP="00AF7616">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5分</w:t>
            </w:r>
          </w:p>
        </w:tc>
        <w:tc>
          <w:tcPr>
            <w:tcW w:w="3345" w:type="dxa"/>
            <w:vAlign w:val="center"/>
          </w:tcPr>
          <w:p w:rsidR="00AF7616" w:rsidRDefault="006064FF" w:rsidP="006064FF">
            <w:pPr>
              <w:overflowPunct w:val="0"/>
              <w:spacing w:line="576" w:lineRule="exact"/>
            </w:pPr>
            <w:r>
              <w:t>1.</w:t>
            </w:r>
            <w:r>
              <w:t>履约售后（</w:t>
            </w:r>
            <w:r>
              <w:rPr>
                <w:rFonts w:hint="eastAsia"/>
              </w:rPr>
              <w:t>3</w:t>
            </w:r>
            <w:r>
              <w:t>分）</w:t>
            </w:r>
            <w:r>
              <w:br/>
              <w:t>- </w:t>
            </w:r>
            <w:r>
              <w:t>承诺保修期内</w:t>
            </w:r>
            <w:r>
              <w:t>24</w:t>
            </w:r>
            <w:r>
              <w:t>小时响应维修需求（如接到通知后</w:t>
            </w:r>
            <w:r>
              <w:t>8</w:t>
            </w:r>
            <w:r>
              <w:t>小时内到场），维修费用全免；保修期后提供成本价维保服务，且定期（如每季度）上门巡检，得</w:t>
            </w:r>
            <w:r>
              <w:rPr>
                <w:rFonts w:hint="eastAsia"/>
              </w:rPr>
              <w:t>3</w:t>
            </w:r>
            <w:r>
              <w:t>分；响应时间超</w:t>
            </w:r>
            <w:r>
              <w:t>24</w:t>
            </w:r>
            <w:r>
              <w:t>小时扣</w:t>
            </w:r>
            <w:r>
              <w:rPr>
                <w:rFonts w:hint="eastAsia"/>
              </w:rPr>
              <w:t>1</w:t>
            </w:r>
            <w:r>
              <w:t>分，无巡检</w:t>
            </w:r>
            <w:r>
              <w:t>/</w:t>
            </w:r>
            <w:r>
              <w:t>维保承诺扣</w:t>
            </w:r>
            <w:r>
              <w:rPr>
                <w:rFonts w:hint="eastAsia"/>
              </w:rPr>
              <w:t>3</w:t>
            </w:r>
            <w:r>
              <w:t>分。</w:t>
            </w:r>
            <w:r w:rsidR="00AF7616">
              <w:br/>
              <w:t>2. </w:t>
            </w:r>
            <w:r w:rsidR="00AF7616">
              <w:t>设备与人员保障（</w:t>
            </w:r>
            <w:r w:rsidR="00AF7616">
              <w:t>2</w:t>
            </w:r>
            <w:r w:rsidR="00AF7616">
              <w:t>分）</w:t>
            </w:r>
            <w:r w:rsidR="00AF7616">
              <w:br/>
              <w:t>- </w:t>
            </w:r>
            <w:r w:rsidR="00AF7616">
              <w:t>承诺投入项目的施工设备（如焊机等）为自有或长期租赁（提供设备清单），且施工人员数量满足工期要求，得</w:t>
            </w:r>
            <w:r w:rsidR="00AF7616">
              <w:t>2</w:t>
            </w:r>
            <w:r w:rsidR="00AF7616">
              <w:t>分；设备</w:t>
            </w:r>
            <w:r w:rsidR="00AF7616">
              <w:t>/</w:t>
            </w:r>
            <w:r w:rsidR="00AF7616">
              <w:t>人员保障不足，扣</w:t>
            </w:r>
            <w:r w:rsidR="00AF7616">
              <w:t>1-2</w:t>
            </w:r>
            <w:r w:rsidR="00AF7616">
              <w:t>分。</w:t>
            </w:r>
          </w:p>
        </w:tc>
      </w:tr>
      <w:tr w:rsidR="008F11BF">
        <w:tc>
          <w:tcPr>
            <w:tcW w:w="1572"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其他优惠条件或服务承诺</w:t>
            </w:r>
          </w:p>
        </w:tc>
        <w:tc>
          <w:tcPr>
            <w:tcW w:w="4226" w:type="dxa"/>
            <w:vAlign w:val="center"/>
          </w:tcPr>
          <w:p w:rsidR="008F11BF" w:rsidRDefault="00AF7616" w:rsidP="00D3419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5分</w:t>
            </w:r>
          </w:p>
        </w:tc>
        <w:tc>
          <w:tcPr>
            <w:tcW w:w="3345" w:type="dxa"/>
            <w:vAlign w:val="center"/>
          </w:tcPr>
          <w:p w:rsidR="008F11BF" w:rsidRDefault="00D34195" w:rsidP="00D34195">
            <w:pPr>
              <w:overflowPunct w:val="0"/>
              <w:spacing w:line="580" w:lineRule="exact"/>
              <w:rPr>
                <w:rFonts w:ascii="黑体" w:eastAsia="黑体"/>
                <w:sz w:val="28"/>
                <w:szCs w:val="28"/>
              </w:rPr>
            </w:pPr>
            <w:r>
              <w:t>承诺项目施工完全符合环保要求（噪声、粉尘达标），办理齐全相关手续（如施工许可证、夜间施工许可），若因合规问题被处罚，承担全部罚款并整改，得</w:t>
            </w:r>
            <w:r>
              <w:rPr>
                <w:rFonts w:hint="eastAsia"/>
              </w:rPr>
              <w:t>5</w:t>
            </w:r>
            <w:r>
              <w:t>分；手续办理未承诺扣</w:t>
            </w:r>
            <w:r>
              <w:rPr>
                <w:rFonts w:hint="eastAsia"/>
              </w:rPr>
              <w:t>2</w:t>
            </w:r>
            <w:r>
              <w:t>分，没有承诺不得分</w:t>
            </w:r>
          </w:p>
        </w:tc>
      </w:tr>
      <w:tr w:rsidR="008F11BF">
        <w:tc>
          <w:tcPr>
            <w:tcW w:w="1572"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c>
          <w:tcPr>
            <w:tcW w:w="4226" w:type="dxa"/>
            <w:vAlign w:val="center"/>
          </w:tcPr>
          <w:p w:rsidR="008F11BF" w:rsidRDefault="002667B5">
            <w:pPr>
              <w:overflowPunct w:val="0"/>
              <w:spacing w:line="5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100分</w:t>
            </w:r>
          </w:p>
        </w:tc>
        <w:tc>
          <w:tcPr>
            <w:tcW w:w="3345" w:type="dxa"/>
            <w:vAlign w:val="center"/>
          </w:tcPr>
          <w:p w:rsidR="008F11BF" w:rsidRDefault="008F11BF">
            <w:pPr>
              <w:overflowPunct w:val="0"/>
              <w:spacing w:line="580" w:lineRule="exact"/>
              <w:rPr>
                <w:rFonts w:ascii="黑体" w:eastAsia="黑体"/>
                <w:sz w:val="28"/>
                <w:szCs w:val="28"/>
              </w:rPr>
            </w:pPr>
          </w:p>
        </w:tc>
      </w:tr>
    </w:tbl>
    <w:p w:rsidR="00E17629" w:rsidRDefault="00E17629">
      <w:pPr>
        <w:overflowPunct w:val="0"/>
        <w:spacing w:line="580" w:lineRule="exact"/>
        <w:ind w:firstLineChars="200" w:firstLine="560"/>
        <w:rPr>
          <w:rFonts w:ascii="黑体" w:eastAsia="黑体"/>
          <w:sz w:val="28"/>
          <w:szCs w:val="28"/>
        </w:rPr>
      </w:pPr>
      <w:r>
        <w:rPr>
          <w:rFonts w:ascii="黑体" w:eastAsia="黑体" w:hint="eastAsia"/>
          <w:sz w:val="28"/>
          <w:szCs w:val="28"/>
        </w:rPr>
        <w:lastRenderedPageBreak/>
        <w:t>（拟用评分标准仅供参考）</w:t>
      </w:r>
    </w:p>
    <w:p w:rsidR="008F11BF" w:rsidRDefault="002667B5">
      <w:pPr>
        <w:overflowPunct w:val="0"/>
        <w:spacing w:line="580" w:lineRule="exact"/>
        <w:ind w:firstLineChars="200" w:firstLine="560"/>
        <w:rPr>
          <w:rFonts w:ascii="黑体" w:eastAsia="黑体"/>
          <w:sz w:val="28"/>
          <w:szCs w:val="28"/>
        </w:rPr>
      </w:pPr>
      <w:r>
        <w:rPr>
          <w:rFonts w:ascii="黑体" w:eastAsia="黑体" w:hint="eastAsia"/>
          <w:sz w:val="28"/>
          <w:szCs w:val="28"/>
        </w:rPr>
        <w:t>五、项目联系方式</w:t>
      </w:r>
    </w:p>
    <w:p w:rsidR="008F11BF" w:rsidRDefault="002667B5">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采购科室：总务科</w:t>
      </w:r>
    </w:p>
    <w:p w:rsidR="008F11BF" w:rsidRDefault="002667B5">
      <w:pPr>
        <w:overflowPunct w:val="0"/>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项目经办人（签字）：           </w:t>
      </w:r>
    </w:p>
    <w:p w:rsidR="008F11BF" w:rsidRDefault="002667B5">
      <w:pPr>
        <w:overflowPunct w:val="0"/>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科主任（签字） ：                </w:t>
      </w:r>
    </w:p>
    <w:p w:rsidR="008F11BF" w:rsidRDefault="008F11BF">
      <w:pPr>
        <w:overflowPunct w:val="0"/>
        <w:spacing w:line="600" w:lineRule="exact"/>
        <w:ind w:firstLineChars="200" w:firstLine="560"/>
        <w:rPr>
          <w:rFonts w:asciiTheme="minorEastAsia" w:eastAsiaTheme="minorEastAsia" w:hAnsiTheme="minorEastAsia"/>
          <w:sz w:val="28"/>
          <w:szCs w:val="28"/>
        </w:rPr>
      </w:pPr>
    </w:p>
    <w:p w:rsidR="008F11BF" w:rsidRDefault="002667B5">
      <w:pPr>
        <w:overflowPunct w:val="0"/>
        <w:spacing w:line="600" w:lineRule="exact"/>
        <w:ind w:firstLineChars="1950" w:firstLine="54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时间：2025年9月1</w:t>
      </w:r>
      <w:bookmarkStart w:id="9" w:name="_GoBack"/>
      <w:bookmarkEnd w:id="9"/>
      <w:r w:rsidR="004E6794">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日</w:t>
      </w:r>
    </w:p>
    <w:sectPr w:rsidR="008F11BF" w:rsidSect="008F11B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10" w:rsidRDefault="00D67C10">
      <w:pPr>
        <w:spacing w:line="240" w:lineRule="auto"/>
      </w:pPr>
      <w:r>
        <w:separator/>
      </w:r>
    </w:p>
  </w:endnote>
  <w:endnote w:type="continuationSeparator" w:id="0">
    <w:p w:rsidR="00D67C10" w:rsidRDefault="00D67C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FC40D3F-24BE-4C9D-803D-D79F6F45B7E5}"/>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BA4668E6-C28D-4633-AADC-A8BCCEB3494E}"/>
  </w:font>
  <w:font w:name="黑体">
    <w:altName w:val="SimHei"/>
    <w:panose1 w:val="02010609060101010101"/>
    <w:charset w:val="86"/>
    <w:family w:val="modern"/>
    <w:pitch w:val="fixed"/>
    <w:sig w:usb0="800002BF" w:usb1="38CF7CFA" w:usb2="00000016" w:usb3="00000000" w:csb0="00040001" w:csb1="00000000"/>
    <w:embedRegular r:id="rId3" w:subsetted="1" w:fontKey="{9B201118-1529-4040-94E0-C3F8C7AF6BB6}"/>
  </w:font>
  <w:font w:name="MS Mincho">
    <w:altName w:val="ＭＳ 明朝"/>
    <w:panose1 w:val="02020609040205080304"/>
    <w:charset w:val="80"/>
    <w:family w:val="modern"/>
    <w:pitch w:val="fixed"/>
    <w:sig w:usb0="E00002FF" w:usb1="6AC7FDFB" w:usb2="00000012" w:usb3="00000000" w:csb0="0002009F" w:csb1="00000000"/>
    <w:embedRegular r:id="rId4" w:subsetted="1" w:fontKey="{7229A150-8821-4DB4-9D59-B2FE1CF146DB}"/>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10" w:rsidRDefault="00D67C10">
      <w:r>
        <w:separator/>
      </w:r>
    </w:p>
  </w:footnote>
  <w:footnote w:type="continuationSeparator" w:id="0">
    <w:p w:rsidR="00D67C10" w:rsidRDefault="00D67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NzliNjhiMjk3OTllNzBjN2ExM2FiMDJkYTFhOTExZjMifQ=="/>
  </w:docVars>
  <w:rsids>
    <w:rsidRoot w:val="00D11514"/>
    <w:rsid w:val="00012C72"/>
    <w:rsid w:val="002667B5"/>
    <w:rsid w:val="00282A22"/>
    <w:rsid w:val="003E4403"/>
    <w:rsid w:val="003F6A18"/>
    <w:rsid w:val="004C691F"/>
    <w:rsid w:val="004E6794"/>
    <w:rsid w:val="0054029D"/>
    <w:rsid w:val="0055103E"/>
    <w:rsid w:val="005E2E98"/>
    <w:rsid w:val="006064FF"/>
    <w:rsid w:val="00821C8B"/>
    <w:rsid w:val="008F11BF"/>
    <w:rsid w:val="00950CF2"/>
    <w:rsid w:val="009C7ADB"/>
    <w:rsid w:val="009E6069"/>
    <w:rsid w:val="00A179E3"/>
    <w:rsid w:val="00A66D09"/>
    <w:rsid w:val="00A70967"/>
    <w:rsid w:val="00AF7616"/>
    <w:rsid w:val="00B15875"/>
    <w:rsid w:val="00B57173"/>
    <w:rsid w:val="00B75C5D"/>
    <w:rsid w:val="00B8432F"/>
    <w:rsid w:val="00B96D8B"/>
    <w:rsid w:val="00BC5675"/>
    <w:rsid w:val="00C823C4"/>
    <w:rsid w:val="00D11514"/>
    <w:rsid w:val="00D34195"/>
    <w:rsid w:val="00D61A34"/>
    <w:rsid w:val="00D67C10"/>
    <w:rsid w:val="00E17629"/>
    <w:rsid w:val="00FA3B5A"/>
    <w:rsid w:val="00FF7890"/>
    <w:rsid w:val="01B87AF0"/>
    <w:rsid w:val="075E083F"/>
    <w:rsid w:val="0AB65627"/>
    <w:rsid w:val="0C825B1D"/>
    <w:rsid w:val="0E123140"/>
    <w:rsid w:val="0EE228A3"/>
    <w:rsid w:val="11904838"/>
    <w:rsid w:val="11AE2F10"/>
    <w:rsid w:val="11BA18B5"/>
    <w:rsid w:val="143031A3"/>
    <w:rsid w:val="143516C6"/>
    <w:rsid w:val="1AAE27F7"/>
    <w:rsid w:val="1C8E7457"/>
    <w:rsid w:val="1E846DDF"/>
    <w:rsid w:val="29AD4AF1"/>
    <w:rsid w:val="29DA5761"/>
    <w:rsid w:val="2D507058"/>
    <w:rsid w:val="2FFD70E5"/>
    <w:rsid w:val="31E348FE"/>
    <w:rsid w:val="32221055"/>
    <w:rsid w:val="33E32C9F"/>
    <w:rsid w:val="36AB4243"/>
    <w:rsid w:val="36F928E4"/>
    <w:rsid w:val="405A3622"/>
    <w:rsid w:val="46790A87"/>
    <w:rsid w:val="4C3C0B3D"/>
    <w:rsid w:val="4F2C4E99"/>
    <w:rsid w:val="50CE28D9"/>
    <w:rsid w:val="55DD6EED"/>
    <w:rsid w:val="5AE14D89"/>
    <w:rsid w:val="61736957"/>
    <w:rsid w:val="647C3D75"/>
    <w:rsid w:val="661C19ED"/>
    <w:rsid w:val="675D1C8F"/>
    <w:rsid w:val="677222FE"/>
    <w:rsid w:val="67C17B14"/>
    <w:rsid w:val="6F9735B3"/>
    <w:rsid w:val="764A398B"/>
    <w:rsid w:val="7D0821F2"/>
    <w:rsid w:val="7EE257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1F"/>
    <w:pPr>
      <w:widowControl w:val="0"/>
      <w:spacing w:line="360" w:lineRule="auto"/>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8F11BF"/>
    <w:rPr>
      <w:rFonts w:ascii="Arial" w:hAnsi="Arial" w:cs="Arial"/>
    </w:rPr>
  </w:style>
  <w:style w:type="paragraph" w:styleId="a4">
    <w:name w:val="footer"/>
    <w:basedOn w:val="a"/>
    <w:link w:val="Char"/>
    <w:uiPriority w:val="99"/>
    <w:semiHidden/>
    <w:unhideWhenUsed/>
    <w:qFormat/>
    <w:rsid w:val="008F11BF"/>
    <w:pPr>
      <w:tabs>
        <w:tab w:val="center" w:pos="4153"/>
        <w:tab w:val="right" w:pos="8306"/>
      </w:tabs>
      <w:snapToGrid w:val="0"/>
      <w:spacing w:line="240" w:lineRule="auto"/>
      <w:jc w:val="left"/>
    </w:pPr>
    <w:rPr>
      <w:sz w:val="18"/>
      <w:szCs w:val="18"/>
    </w:rPr>
  </w:style>
  <w:style w:type="paragraph" w:styleId="a5">
    <w:name w:val="header"/>
    <w:basedOn w:val="a"/>
    <w:link w:val="Char0"/>
    <w:uiPriority w:val="99"/>
    <w:semiHidden/>
    <w:unhideWhenUsed/>
    <w:qFormat/>
    <w:rsid w:val="008F11BF"/>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semiHidden/>
    <w:unhideWhenUsed/>
    <w:qFormat/>
    <w:rsid w:val="008F11BF"/>
    <w:pPr>
      <w:widowControl/>
      <w:spacing w:before="100" w:beforeAutospacing="1" w:after="100" w:afterAutospacing="1"/>
      <w:jc w:val="left"/>
    </w:pPr>
    <w:rPr>
      <w:rFonts w:ascii="宋体" w:hAnsi="宋体" w:cs="宋体"/>
      <w:kern w:val="0"/>
      <w:szCs w:val="24"/>
    </w:rPr>
  </w:style>
  <w:style w:type="table" w:styleId="a7">
    <w:name w:val="Table Grid"/>
    <w:basedOn w:val="a1"/>
    <w:uiPriority w:val="59"/>
    <w:qFormat/>
    <w:rsid w:val="008F11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unhideWhenUsed/>
    <w:qFormat/>
    <w:rsid w:val="008F11BF"/>
    <w:pPr>
      <w:autoSpaceDE w:val="0"/>
      <w:autoSpaceDN w:val="0"/>
      <w:adjustRightInd w:val="0"/>
      <w:jc w:val="left"/>
    </w:pPr>
    <w:rPr>
      <w:rFonts w:hint="eastAsia"/>
      <w:kern w:val="0"/>
    </w:rPr>
  </w:style>
  <w:style w:type="character" w:customStyle="1" w:styleId="Char0">
    <w:name w:val="页眉 Char"/>
    <w:basedOn w:val="a0"/>
    <w:link w:val="a5"/>
    <w:uiPriority w:val="99"/>
    <w:semiHidden/>
    <w:qFormat/>
    <w:rsid w:val="008F11BF"/>
    <w:rPr>
      <w:rFonts w:ascii="Calibri" w:eastAsia="宋体" w:hAnsi="Calibri" w:cs="Times New Roman"/>
      <w:kern w:val="2"/>
      <w:sz w:val="18"/>
      <w:szCs w:val="18"/>
    </w:rPr>
  </w:style>
  <w:style w:type="character" w:customStyle="1" w:styleId="Char">
    <w:name w:val="页脚 Char"/>
    <w:basedOn w:val="a0"/>
    <w:link w:val="a4"/>
    <w:uiPriority w:val="99"/>
    <w:semiHidden/>
    <w:qFormat/>
    <w:rsid w:val="008F11BF"/>
    <w:rPr>
      <w:rFonts w:ascii="Calibri" w:eastAsia="宋体" w:hAnsi="Calibri" w:cs="Times New Roman"/>
      <w:kern w:val="2"/>
      <w:sz w:val="18"/>
      <w:szCs w:val="18"/>
    </w:rPr>
  </w:style>
  <w:style w:type="paragraph" w:styleId="a8">
    <w:name w:val="List Paragraph"/>
    <w:basedOn w:val="a"/>
    <w:uiPriority w:val="34"/>
    <w:qFormat/>
    <w:rsid w:val="008F11B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ZJB1-郑继波</dc:creator>
  <cp:lastModifiedBy>郭捷</cp:lastModifiedBy>
  <cp:revision>10</cp:revision>
  <cp:lastPrinted>2025-09-19T01:17:00Z</cp:lastPrinted>
  <dcterms:created xsi:type="dcterms:W3CDTF">2022-04-07T08:57:00Z</dcterms:created>
  <dcterms:modified xsi:type="dcterms:W3CDTF">2025-09-19T01:17:00Z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FEDBE0A43E9B49518190F75D0D5E7B40_13</vt:lpwstr>
  </property>
  <property fmtid="{D5CDD505-2E9C-101B-9397-08002B2CF9AE}" pid="4" name="KSOTemplateDocerSaveRecord">
    <vt:lpwstr>eyJoZGlkIjoiMzA1MzE2YTQzZTE5OGI4MjlkMTQ0YjQyODNmYzgwY2QiLCJ1c2VySWQiOiIzNTY3MDQzOTEifQ==</vt:lpwstr>
  </property>
</Properties>
</file>